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18"/>
        <w:tblW w:w="4682" w:type="dxa"/>
        <w:tblLook w:val="04A0"/>
      </w:tblPr>
      <w:tblGrid>
        <w:gridCol w:w="4682"/>
      </w:tblGrid>
      <w:tr w:rsidR="00A56E4E" w:rsidRPr="00A56E4E" w:rsidTr="00585B3D">
        <w:trPr>
          <w:trHeight w:val="1706"/>
        </w:trPr>
        <w:tc>
          <w:tcPr>
            <w:tcW w:w="4682" w:type="dxa"/>
            <w:shd w:val="clear" w:color="auto" w:fill="auto"/>
          </w:tcPr>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Приложение</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к постановлению администрации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Увельского муниципального округа </w:t>
            </w:r>
          </w:p>
          <w:p w:rsidR="00A56E4E" w:rsidRPr="00A56E4E" w:rsidRDefault="00F64518"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 апреля  2026г. №797</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bl>
    <w:p w:rsidR="00A56E4E" w:rsidRPr="00A56E4E" w:rsidRDefault="00A56E4E" w:rsidP="00A56E4E">
      <w:pPr>
        <w:spacing w:after="0" w:line="240" w:lineRule="auto"/>
        <w:rPr>
          <w:rFonts w:ascii="Times New Roman" w:eastAsia="Times New Roman" w:hAnsi="Times New Roman" w:cs="Times New Roman"/>
          <w:sz w:val="24"/>
          <w:szCs w:val="24"/>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Положение</w:t>
      </w: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об установлении систем оплаты труда работников</w:t>
      </w: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 xml:space="preserve">муниципальных бюджетных, автономных и казенных учреждений </w:t>
      </w: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Увельского муниципального округа</w:t>
      </w: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I. Общие положения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 Системы оплаты труда работников муниципальных бюджетных, автономных и казенных учреждений (далее именуются - муниципальные учреждения), которые включают в себя размеры окладов (должностных окладов),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Челябинской области, содержащими нормы трудового права, настоящим Положением, а также с учетом мнения представительного органа работников муниципальных учреждений.</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 Системы оплаты труда работников муниципальных учреждений (далее именуются - работники) устанавливаются с учетом:</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 единого тарифно-квалификационного справочника работ и профессий рабочих;</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 тарифно-квалификационных характеристик по общеотраслевым профессиям рабочих;</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3) единого квалификационного справочника должностей руководителей, специалистов и служащих или профессиональных стандартов;</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4) государственных гарантий по оплате труда;</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5) перечня видов выплат компенсационного характера, установленного настоящим Положением;</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6) перечня видов выплат стимулирующего характера, установленного настоящим Положением;</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7) положений об оплате труда работников бюджетных учреждений по видам экономической деятельности;</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8) рекомендаций Российской трехсторонней комиссии по регулированию социально-трудовых отношений на текущий год;</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9) мнения представительного органа работников муниципальных учреждений;</w:t>
      </w:r>
    </w:p>
    <w:p w:rsidR="00A56E4E" w:rsidRPr="00A56E4E" w:rsidRDefault="00A56E4E" w:rsidP="00A56E4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10)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56E4E" w:rsidRPr="00A56E4E" w:rsidRDefault="00A56E4E" w:rsidP="00A56E4E">
      <w:pPr>
        <w:widowControl w:val="0"/>
        <w:autoSpaceDE w:val="0"/>
        <w:autoSpaceDN w:val="0"/>
        <w:spacing w:after="0" w:line="240" w:lineRule="auto"/>
        <w:jc w:val="both"/>
        <w:outlineLvl w:val="1"/>
        <w:rPr>
          <w:rFonts w:ascii="Times New Roman" w:eastAsia="Times New Roman" w:hAnsi="Times New Roman" w:cs="Times New Roman"/>
          <w:b/>
          <w:sz w:val="26"/>
          <w:szCs w:val="26"/>
          <w:lang w:eastAsia="ru-RU"/>
        </w:rPr>
      </w:pPr>
    </w:p>
    <w:p w:rsidR="00A56E4E" w:rsidRPr="00A56E4E" w:rsidRDefault="00A56E4E" w:rsidP="00A56E4E">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II. Порядок формирования систем оплаты труда работников</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3. Оплата труда работников включает:</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оклады (должностные оклады), ставки заработной платы;</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выплаты компенсационного характера;</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bookmarkStart w:id="0" w:name="_GoBack"/>
      <w:bookmarkEnd w:id="0"/>
      <w:r w:rsidRPr="00A56E4E">
        <w:rPr>
          <w:rFonts w:ascii="Times New Roman" w:eastAsia="Times New Roman" w:hAnsi="Times New Roman" w:cs="Times New Roman"/>
          <w:sz w:val="26"/>
          <w:szCs w:val="26"/>
          <w:lang w:eastAsia="ru-RU"/>
        </w:rPr>
        <w:lastRenderedPageBreak/>
        <w:t>- выплаты стимулирующего характера.</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bookmarkStart w:id="1" w:name="P72"/>
      <w:bookmarkEnd w:id="1"/>
      <w:r w:rsidRPr="00A56E4E">
        <w:rPr>
          <w:rFonts w:ascii="Times New Roman" w:eastAsia="Times New Roman" w:hAnsi="Times New Roman" w:cs="Times New Roman"/>
          <w:sz w:val="26"/>
          <w:szCs w:val="26"/>
          <w:lang w:eastAsia="ru-RU"/>
        </w:rPr>
        <w:t>4. Системы оплаты труда работников муниципальных бюджетных и автономных учреждений устанавливаются в положениях об оплате труда работников муниципальных бюджетных, автономных учреждений, утверждаемых органом местного самоуправления Увельского муниципального округа по представлению главных распорядителей средств местного бюджета, в ведении которых находятся муниципальные учреждения.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Системы оплаты труда работников муниципальных казенных учреждений устанавливаются в положениях об оплате труда работников муниципальных казенных учреждений, утверждаемых органом местного самоуправления Увельского муниципального округа по представлению главных распорядителей средств местного бюджета.</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5. Размеры окладов (должностных окладов), ставок заработной платы работников устанавливаются в соответствии с требованиями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5.1. Работникам муниципальных учреждений положениями об оплате труда могут предусматриваться персональные повышающие коэффициенты к окладу (должностному окладу), ставке заработной платы (далее именуется - персональный повышающий коэффициент). Персональный повышающий коэффициент устанавливается на основании локального нормативного акта муниципального учреждения с учетом мнения представительного органа работников учреждения и в соответствии с приказом руководителя муниципального учреждения в отношении конкретного работника с учетом уровня его профессиональной подготовки, сложности и важности выполняемой работы, степени самостоятельности, стажа работы в муниципальном учреждении, ответственности при выполнении поставленных задач и других факторов, а также с учетом обеспечения указанной выплаты финансовыми средствами.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Рекомендуемый размер персонального повышающего коэффициента - до 3.</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Персональный повышающий коэффициент устанавливается на определенный период времени в течение соответствующего календарного года. Размер выплат определяется путем умножения размера оклада (должностного оклада), ставки заработной платы работника на персональный повышающий коэффициент. Применение персонального повышающего коэффициента не образует нового оклада и не учитывается при определении стимулирующих и компенсационных выплат работнику.</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III. Виды выплат компенсационного характера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6. К выплатам компенсационного характера относятся:</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bookmarkStart w:id="2" w:name="P82"/>
      <w:bookmarkEnd w:id="2"/>
      <w:r w:rsidRPr="00A56E4E">
        <w:rPr>
          <w:rFonts w:ascii="Times New Roman" w:eastAsia="Times New Roman" w:hAnsi="Times New Roman" w:cs="Times New Roman"/>
          <w:sz w:val="26"/>
          <w:szCs w:val="26"/>
          <w:lang w:eastAsia="ru-RU"/>
        </w:rPr>
        <w:t>- выплаты работникам, занятым на работах с вредными и (или) опасными условиями труда;</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выплаты за работу в местностях с особыми климатическими условиями (районный коэффициент);</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 выплаты за работу в условиях, отклоняющихся от нормальных (при выполнении работ различной квалификации, разъездном характере работы, совмещении профессий (должностей), сверхурочной работе, работе в ночное время, выходные и нерабочие праздничные дни, расширении зон обслуживания, исполнении обязанностей временно отсутствующего работника без освобождения от работы, </w:t>
      </w:r>
      <w:r w:rsidRPr="00A56E4E">
        <w:rPr>
          <w:rFonts w:ascii="Times New Roman" w:eastAsia="Times New Roman" w:hAnsi="Times New Roman" w:cs="Times New Roman"/>
          <w:sz w:val="26"/>
          <w:szCs w:val="26"/>
          <w:lang w:eastAsia="ru-RU"/>
        </w:rPr>
        <w:lastRenderedPageBreak/>
        <w:t>определенной трудовым договором, и при выполнении работ в других условиях, отличающихся от нормальных);</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надбавки за работу со сведениями, составляющими государственную тайну, их засекречивание и рассекречивание, а также за работу с шифрами.</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7. Выплаты компенсационного характера устанавливаются в соответствии с </w:t>
      </w:r>
      <w:hyperlink w:anchor="P72">
        <w:r w:rsidRPr="00A56E4E">
          <w:rPr>
            <w:rFonts w:ascii="Times New Roman" w:eastAsia="Times New Roman" w:hAnsi="Times New Roman" w:cs="Times New Roman"/>
            <w:sz w:val="26"/>
            <w:szCs w:val="26"/>
            <w:lang w:eastAsia="ru-RU"/>
          </w:rPr>
          <w:t>пунктом 4</w:t>
        </w:r>
      </w:hyperlink>
      <w:r w:rsidRPr="00A56E4E">
        <w:rPr>
          <w:rFonts w:ascii="Times New Roman" w:eastAsia="Times New Roman" w:hAnsi="Times New Roman" w:cs="Times New Roman"/>
          <w:sz w:val="26"/>
          <w:szCs w:val="26"/>
          <w:lang w:eastAsia="ru-RU"/>
        </w:rPr>
        <w:t xml:space="preserve"> настоящего Положения к окладам (должностным окладам), ставкам заработной платы работников по соответствующим профессиональным квалификационным группам в процентах к окладам (должностным окладам), ставкам заработной платы или в абсолютных размерах, если иное не установлено трудовым законодательством, иными нормативными правовыми актами Российской Федерации или Челябинской области.</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8. Работодатели принимают меры по проведению специальной оценки условий труда в соответствии с Федеральным </w:t>
      </w:r>
      <w:hyperlink r:id="rId7">
        <w:r w:rsidRPr="00A56E4E">
          <w:rPr>
            <w:rFonts w:ascii="Times New Roman" w:eastAsia="Times New Roman" w:hAnsi="Times New Roman" w:cs="Times New Roman"/>
            <w:sz w:val="26"/>
            <w:szCs w:val="26"/>
            <w:lang w:eastAsia="ru-RU"/>
          </w:rPr>
          <w:t>законом</w:t>
        </w:r>
      </w:hyperlink>
      <w:r w:rsidRPr="00A56E4E">
        <w:rPr>
          <w:rFonts w:ascii="Times New Roman" w:eastAsia="Times New Roman" w:hAnsi="Times New Roman" w:cs="Times New Roman"/>
          <w:sz w:val="26"/>
          <w:szCs w:val="26"/>
          <w:lang w:eastAsia="ru-RU"/>
        </w:rPr>
        <w:t xml:space="preserve"> от 28 декабря 2013 года № 426-ФЗ «О специальной оценке условий труда» (далее именуется - Федеральный закон)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указанные в </w:t>
      </w:r>
      <w:hyperlink w:anchor="P82">
        <w:r w:rsidRPr="00A56E4E">
          <w:rPr>
            <w:rFonts w:ascii="Times New Roman" w:eastAsia="Times New Roman" w:hAnsi="Times New Roman" w:cs="Times New Roman"/>
            <w:sz w:val="26"/>
            <w:szCs w:val="26"/>
            <w:lang w:eastAsia="ru-RU"/>
          </w:rPr>
          <w:t>абзаце втором пункта 6</w:t>
        </w:r>
      </w:hyperlink>
      <w:r w:rsidRPr="00A56E4E">
        <w:rPr>
          <w:rFonts w:ascii="Times New Roman" w:eastAsia="Times New Roman" w:hAnsi="Times New Roman" w:cs="Times New Roman"/>
          <w:sz w:val="26"/>
          <w:szCs w:val="26"/>
          <w:lang w:eastAsia="ru-RU"/>
        </w:rPr>
        <w:t xml:space="preserve"> настоящего Положения выплаты отменяются.</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9.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или Челябинской области, содержащими нормы трудового права, и конкретизируются в трудовом договоре с работником (в дополнительном соглашении к трудовому договору с работником).</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Порядок и условия осуществления компенсационных мер, направленных на ослабление негативного воздействия на здоровье работников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в отношении работников, занятых на работах с вредными и (или) опасными условиями труда, не могут быть ухудшены, а размеры указанных компенсационных мер не могут быть снижены по сравнению с порядком, условиями и размерами фактически реализуемых в отношении указанных работников компенсационных мер по состоянию на день вступления в силу Федерального </w:t>
      </w:r>
      <w:hyperlink r:id="rId8">
        <w:r w:rsidRPr="00A56E4E">
          <w:rPr>
            <w:rFonts w:ascii="Times New Roman" w:eastAsia="Times New Roman" w:hAnsi="Times New Roman" w:cs="Times New Roman"/>
            <w:sz w:val="26"/>
            <w:szCs w:val="26"/>
            <w:lang w:eastAsia="ru-RU"/>
          </w:rPr>
          <w:t>закона</w:t>
        </w:r>
      </w:hyperlink>
      <w:r w:rsidRPr="00A56E4E">
        <w:rPr>
          <w:rFonts w:ascii="Times New Roman" w:eastAsia="Times New Roman" w:hAnsi="Times New Roman" w:cs="Times New Roman"/>
          <w:sz w:val="26"/>
          <w:szCs w:val="26"/>
          <w:lang w:eastAsia="ru-RU"/>
        </w:rPr>
        <w:t xml:space="preserve">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при условии сохранения соответствующих условий труда на рабочем месте, явившихся основанием для назначения реализуемых компенсационных мер.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IV. Виды выплат стимулирующего характера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10. К выплатам стимулирующего характера относятся:</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выплаты за интенсивность и высокие результаты работы;</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выплаты за качество выполняемых работ;</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выплаты за наличие ученой степени, почетного звания;</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выплаты за непрерывный стаж работы, выслугу лет;</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надбавка молодым специалистам;</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премиальные выплаты по итогам работы;</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 выплаты, учитывающие особенности деятельности муниципального </w:t>
      </w:r>
      <w:r w:rsidRPr="00A56E4E">
        <w:rPr>
          <w:rFonts w:ascii="Times New Roman" w:eastAsia="Times New Roman" w:hAnsi="Times New Roman" w:cs="Times New Roman"/>
          <w:sz w:val="26"/>
          <w:szCs w:val="26"/>
          <w:lang w:eastAsia="ru-RU"/>
        </w:rPr>
        <w:lastRenderedPageBreak/>
        <w:t xml:space="preserve">учреждения </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  и отдельных категорий работников;</w:t>
      </w:r>
    </w:p>
    <w:p w:rsidR="00A56E4E" w:rsidRPr="00A56E4E" w:rsidRDefault="00A56E4E" w:rsidP="00362C7A">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 надбавка специалистам за работу в сельских населенных пунктах Челябинской области в размере до 25 процентов оклада (должностного оклада) в соответствии с </w:t>
      </w:r>
      <w:hyperlink w:anchor="P159">
        <w:r w:rsidRPr="00A56E4E">
          <w:rPr>
            <w:rFonts w:ascii="Times New Roman" w:eastAsia="Times New Roman" w:hAnsi="Times New Roman" w:cs="Times New Roman"/>
            <w:sz w:val="26"/>
            <w:szCs w:val="26"/>
            <w:lang w:eastAsia="ru-RU"/>
          </w:rPr>
          <w:t>перечнем</w:t>
        </w:r>
      </w:hyperlink>
      <w:r w:rsidRPr="00A56E4E">
        <w:rPr>
          <w:rFonts w:ascii="Times New Roman" w:eastAsia="Times New Roman" w:hAnsi="Times New Roman" w:cs="Times New Roman"/>
          <w:sz w:val="26"/>
          <w:szCs w:val="26"/>
          <w:lang w:eastAsia="ru-RU"/>
        </w:rPr>
        <w:t xml:space="preserve"> должностей специалистов муниципальных учреждений культуры, социального обслуживания, образования, физкультуры и спорта, работающих в сельских населенных пунктах Челябинской области, согласно приложению к настоящему Положению;</w:t>
      </w:r>
    </w:p>
    <w:p w:rsidR="00A56E4E" w:rsidRPr="00A56E4E" w:rsidRDefault="00A56E4E" w:rsidP="00362C7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выплаты за наставничество. Наставничество в сфере труда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11. Размеры и условия выплат стимулирующего характера устанавливаются в соответствии с нормативными правовыми актами органов местного самоуправления муниципального округа,коллективными договорами, соглашениями, локальными нормативными актами, трудовыми договорами с учетом разрабатываемых показателей и критериев оценки эффективности труда работников в пределах фонда оплаты труда и максимальными размерами для конкретного работника не ограничиваются.</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12. Выплаты стимулирующего характера устанавливаются работнику с учетом критериев, позволяющих оценить результативность и качество его работы.</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13. Выплаты стимулирующего характера производятся по решению руководителя муниципального учреждения с учетом мнения представительного органа работников (при наличии) в пределах утвержденного фонда оплаты труда.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Стимулирующие выплаты конкретизируются в трудовом договоре с работником (в дополнительном соглашении к трудовому договору с работником).</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 xml:space="preserve">V. Порядок и условия оплаты труда </w:t>
      </w: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руководителей муниципальных учреждений,</w:t>
      </w: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их заместителей и главных бухгалтеров</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14. Заработная плата руководителей муниципальных учреждений, их заместителей и главных бухгалтеров состоит из должностного оклада, выплат компенсационного и стимулирующего характера.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Размер должностного оклада руководителя муниципального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муниципального учреждения.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Условия оплаты труда руководителя муниципального учреждения устанавливаются в трудовом договоре (в дополнительном соглашении к трудовому договору), заключаемом на основе типовой </w:t>
      </w:r>
      <w:hyperlink r:id="rId9">
        <w:r w:rsidRPr="00A56E4E">
          <w:rPr>
            <w:rFonts w:ascii="Times New Roman" w:eastAsia="Times New Roman" w:hAnsi="Times New Roman" w:cs="Times New Roman"/>
            <w:sz w:val="26"/>
            <w:szCs w:val="26"/>
            <w:lang w:eastAsia="ru-RU"/>
          </w:rPr>
          <w:t>формы</w:t>
        </w:r>
      </w:hyperlink>
      <w:r w:rsidRPr="00A56E4E">
        <w:rPr>
          <w:rFonts w:ascii="Times New Roman" w:eastAsia="Times New Roman" w:hAnsi="Times New Roman" w:cs="Times New Roman"/>
          <w:sz w:val="26"/>
          <w:szCs w:val="26"/>
          <w:lang w:eastAsia="ru-RU"/>
        </w:rPr>
        <w:t xml:space="preserve">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bookmarkStart w:id="3" w:name="P115"/>
      <w:bookmarkEnd w:id="3"/>
      <w:r w:rsidRPr="00A56E4E">
        <w:rPr>
          <w:rFonts w:ascii="Times New Roman" w:eastAsia="Times New Roman" w:hAnsi="Times New Roman" w:cs="Times New Roman"/>
          <w:sz w:val="26"/>
          <w:szCs w:val="26"/>
          <w:lang w:eastAsia="ru-RU"/>
        </w:rPr>
        <w:t xml:space="preserve">Предельный уровень соотношения среднемесячной заработной платы руководителей муниципальных учреждений, их заместителей,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w:t>
      </w:r>
      <w:r w:rsidRPr="00A56E4E">
        <w:rPr>
          <w:rFonts w:ascii="Times New Roman" w:eastAsia="Times New Roman" w:hAnsi="Times New Roman" w:cs="Times New Roman"/>
          <w:sz w:val="26"/>
          <w:szCs w:val="26"/>
          <w:lang w:eastAsia="ru-RU"/>
        </w:rPr>
        <w:lastRenderedPageBreak/>
        <w:t>заработной платы соответствующего руководителя, его заместителей, главного бухгалтера) определяется главными распорядителями средств местного бюджета, в ведении которых находятся муниципальные учреждения, в кратности до 5.</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Исчисление среднемесячной заработной платы руководителей муниципальных учреждений, их заместителей, главных бухгалтеров и среднемесячной заработной платы работников этих учреждений в целях определения предельного уровня соотношения среднемесячной заработной платы указанных лиц осуществляется в соответствии с </w:t>
      </w:r>
      <w:hyperlink r:id="rId10">
        <w:r w:rsidRPr="00A56E4E">
          <w:rPr>
            <w:rFonts w:ascii="Times New Roman" w:eastAsia="Times New Roman" w:hAnsi="Times New Roman" w:cs="Times New Roman"/>
            <w:sz w:val="26"/>
            <w:szCs w:val="26"/>
            <w:lang w:eastAsia="ru-RU"/>
          </w:rPr>
          <w:t>Положением</w:t>
        </w:r>
      </w:hyperlink>
      <w:r w:rsidRPr="00A56E4E">
        <w:rPr>
          <w:rFonts w:ascii="Times New Roman" w:eastAsia="Times New Roman" w:hAnsi="Times New Roman" w:cs="Times New Roman"/>
          <w:sz w:val="26"/>
          <w:szCs w:val="26"/>
          <w:lang w:eastAsia="ru-RU"/>
        </w:rPr>
        <w:t xml:space="preserve"> об особенностях порядка исчисления средней заработной платы, утвержденным постановлением Правительства Российской Федерации от 24 апреля 2025 г. № 540 «Об особенностях порядка исчисления средней заработной платы».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При установлении условий оплаты труда руководителю муниципального учреждения главный распорядитель бюджетных средств должен исходить из необходимости обеспечения не превышения предельного уровня соотношения среднемесячной заработной платы, установленного в соответствии с </w:t>
      </w:r>
      <w:hyperlink w:anchor="P115">
        <w:r w:rsidRPr="00A56E4E">
          <w:rPr>
            <w:rFonts w:ascii="Times New Roman" w:eastAsia="Times New Roman" w:hAnsi="Times New Roman" w:cs="Times New Roman"/>
            <w:sz w:val="26"/>
            <w:szCs w:val="26"/>
            <w:lang w:eastAsia="ru-RU"/>
          </w:rPr>
          <w:t>абзацем четвертым</w:t>
        </w:r>
      </w:hyperlink>
      <w:r w:rsidRPr="00A56E4E">
        <w:rPr>
          <w:rFonts w:ascii="Times New Roman" w:eastAsia="Times New Roman" w:hAnsi="Times New Roman" w:cs="Times New Roman"/>
          <w:sz w:val="26"/>
          <w:szCs w:val="26"/>
          <w:lang w:eastAsia="ru-RU"/>
        </w:rPr>
        <w:t xml:space="preserve"> настоящего пункта, в случае выполнения всех показателей эффективности деятельности муниципального учреждения и работы его руководителя и получения выплат стимулирующего характера в максимальном размере.</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Показатели оценки сложности руководства муниципальными учреждениями устанавливаются соответствующими главными распорядителями средств местного бюджета, в ведении которых находятся муниципальные учреждения.</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15. Выплаты компенсационного характера устанавливаются для руководителей муниципальных учреждений, их заместителей и главных бухгалтеров в процентах к должностным окладам или в абсолютных размерах, если иное не установлено трудовым законодательством и иными нормативными правовыми актами Российской Федерации или Челябинской области.</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16. Главные распорядители средств местного бюджета, в ведении которых находятся муниципальные учреждения, устанавливают руководителям этих учреждений выплаты стимулирующего характера по результатам достижения показателей эффективности деятельности муниципального учреждения и работы его руководителя, утверждаемых нормативными правовыми актами органов местного самоуправления округа. </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В качестве показателя эффективности работы руководителя муниципального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По решению главных распорядителей средств местного бюджета, в ведении которых находятся муниципальные учреждения, в качестве показателя эффективности работы руководителя муниципального учреждения может быть установлен показатель роста средней заработной платы работников муниципального учреждения в отчетном году по сравнению с предшествующим годом без учета повышения размера заработной платы в соответствии с решениями Администрации Увельского муниципального округа.</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17. Должностные оклады заместителей руководителей и главных бухгалтеров муниципальных учреждений устанавливаются на 10 - 30 процентов ниже должностных окладов руководителей этих учреждений. Другие условия оплаты труда указанных работников устанавливаются коллективными договорами, соглашениями, локальными нормативными актами муниципальных учреждений, трудовыми договорами.</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18. Выплаты стимулирующего характера заместителям руководителей </w:t>
      </w:r>
      <w:r w:rsidRPr="00A56E4E">
        <w:rPr>
          <w:rFonts w:ascii="Times New Roman" w:eastAsia="Times New Roman" w:hAnsi="Times New Roman" w:cs="Times New Roman"/>
          <w:sz w:val="26"/>
          <w:szCs w:val="26"/>
          <w:lang w:eastAsia="ru-RU"/>
        </w:rPr>
        <w:lastRenderedPageBreak/>
        <w:t>муниципальных учреждений устанавливаются с учетом целевых показателей эффективности работы, устанавливаемых руководителям муниципальных учреждений.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VI. Особенности формирования систем оплаты труда работников</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19. Руководители муниципальных образовательных организаций в целях развития кадрового потенциала, повышения престижности и привлекательности педагогической профессии, снижения внутрирегиональной дифференциации в оплате труда совершенствование систем оплаты труда педагогических и иных работников осуществляют на основе квалификационных уровней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перераспределения средств, предназначенных на оплату труда в образовательных организациях, так, чтобы установление окладов (должностных окладов), ставок заработной платы работников направлялось не менее 70 процентов фонда оплаты труда образовательной организации (без учета части фонда оплаты труда, предназначенного на выплаты компенсационного характера, в местностях с особыми климатическими условиями, в организациях, в которых за специфику работы выплаты компенсационного характера предусмотрены по двум и более основаниям, а также выплаты связанные с работой в сельской местности).</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20. Руководители муниципальных учреждений культуры в целях развития кадрового потенциала, повышения престижности и привлекательности работы в муниципальных учреждениях культуры, осуществляют совершенствование системы оплаты труда работников муниципальных учреждений культуры путем увеличения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Повышение оплаты труда в первоочередном порядке производится работникам муниципальных учреждений культуры, относимым к основному персоналу.</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Повышение оплаты труда прочему персоналу муниципальных учреждений культуры осуществляется в соответствии с трудовым законодательством и иными нормативными правовыми актами, содержащими нормы трудового права и определяющими системы оплаты труда работников муниципальных учреждений культуры.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При определении перечней должностей работников муниципальных учреждений культуры, отнесенных к категории административно-управленческого персонала, основного персонала, вспомогательного персонала, необходимо использовать приказы Министерства культуры Российской Федерации: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от 3 сентября 2020 г. </w:t>
      </w:r>
      <w:hyperlink r:id="rId11">
        <w:r w:rsidRPr="00A56E4E">
          <w:rPr>
            <w:rFonts w:ascii="Times New Roman" w:eastAsia="Times New Roman" w:hAnsi="Times New Roman" w:cs="Times New Roman"/>
            <w:sz w:val="26"/>
            <w:szCs w:val="26"/>
            <w:lang w:eastAsia="ru-RU"/>
          </w:rPr>
          <w:t xml:space="preserve">№ </w:t>
        </w:r>
      </w:hyperlink>
      <w:r w:rsidRPr="00A56E4E">
        <w:rPr>
          <w:rFonts w:ascii="Times New Roman" w:eastAsia="Times New Roman" w:hAnsi="Times New Roman" w:cs="Times New Roman"/>
          <w:sz w:val="26"/>
          <w:szCs w:val="26"/>
          <w:lang w:eastAsia="ru-RU"/>
        </w:rPr>
        <w:t>1055 «Об утверждении перечня должностей, относящихся к административно-управленческому персоналу федеральных  учреждений, находящихся в ведении Министерства культуры Российской Федерации»;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от 21 октября 2020 г. </w:t>
      </w:r>
      <w:hyperlink r:id="rId12">
        <w:r w:rsidRPr="00A56E4E">
          <w:rPr>
            <w:rFonts w:ascii="Times New Roman" w:eastAsia="Times New Roman" w:hAnsi="Times New Roman" w:cs="Times New Roman"/>
            <w:sz w:val="26"/>
            <w:szCs w:val="26"/>
            <w:lang w:eastAsia="ru-RU"/>
          </w:rPr>
          <w:t>№</w:t>
        </w:r>
      </w:hyperlink>
      <w:r w:rsidRPr="00A56E4E">
        <w:rPr>
          <w:rFonts w:ascii="Times New Roman" w:eastAsia="Times New Roman" w:hAnsi="Times New Roman" w:cs="Times New Roman"/>
          <w:sz w:val="26"/>
          <w:szCs w:val="26"/>
          <w:lang w:eastAsia="ru-RU"/>
        </w:rPr>
        <w:t xml:space="preserve">1256 «Об утверждении перечней должностей работников, относимых к основному персоналу по видам экономической деятельности, для определения размеров должностных окладов руководителей федеральных учреждений, находящихся  в ведении Министерства культуры Российской </w:t>
      </w:r>
      <w:r w:rsidRPr="00A56E4E">
        <w:rPr>
          <w:rFonts w:ascii="Times New Roman" w:eastAsia="Times New Roman" w:hAnsi="Times New Roman" w:cs="Times New Roman"/>
          <w:sz w:val="26"/>
          <w:szCs w:val="26"/>
          <w:lang w:eastAsia="ru-RU"/>
        </w:rPr>
        <w:lastRenderedPageBreak/>
        <w:t>Федерации»;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от 21 октября 2020 г. </w:t>
      </w:r>
      <w:hyperlink r:id="rId13">
        <w:r w:rsidRPr="00A56E4E">
          <w:rPr>
            <w:rFonts w:ascii="Times New Roman" w:eastAsia="Times New Roman" w:hAnsi="Times New Roman" w:cs="Times New Roman"/>
            <w:sz w:val="26"/>
            <w:szCs w:val="26"/>
            <w:lang w:eastAsia="ru-RU"/>
          </w:rPr>
          <w:t>№1257</w:t>
        </w:r>
      </w:hyperlink>
      <w:r w:rsidRPr="00A56E4E">
        <w:rPr>
          <w:rFonts w:ascii="Times New Roman" w:eastAsia="Times New Roman" w:hAnsi="Times New Roman" w:cs="Times New Roman"/>
          <w:sz w:val="26"/>
          <w:szCs w:val="26"/>
          <w:lang w:eastAsia="ru-RU"/>
        </w:rPr>
        <w:t xml:space="preserve"> «Об утверждении перечня должностей и профессий, относящихся к вспомогательному персоналу федеральных учреждений, находящихся в ведении Министерства культуры Российской Федерации».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В целях формирования обоснованных оптимальных показателей трудоемкости выполнения работ и установления необходимой штатной численности персонала в библиотеках, зоопарках, фильмофондах, музеях и других организациях музейного типа применяются типовые отраслевые нормы труда, утвержденные приказами Министерства культуры Российской Федерации, и методические рекомендации, разработанные Министерством культуры Российской Федерации.</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21. Руководители муниципальных учреждений физической культуры и спорта в целях развития кадрового потенциала, совершенствование системы оплаты труда работников учреждений физической культуры и спорта осуществляют путем перераспределения средств, предназначенных на оплату труда (без учета выплат компенсационного характера за работу в местностях с особыми климатическими условиями), так, чтобы размеры окладов (должностных окладов), ставок заработной платы работников учреждений физической культуры и спорта в структуре заработной платы  составляли не ниже 70 процентов.</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22. Руководители муниципальных учреждений дорожного хозяйства в целях развития кадрового потенциала, повышения престижности и привлекательности профессий, снижения внутрирегиональной дифференциации в оплате труда, совершенствование систем оплаты труда работников, рекомендуется осуществлять на основе Отраслевого соглашения по дорожному хозяйству Российской Федерации и обеспечить долю выплат по окладам (должностным окладам) в структуре заработной платы (без учета выплат компенсационного характера) не ниже 60 процентов.</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23. Руководители муниципальных учреждений прочих сфер в целях развития кадрового потенциала, совершенствование системы оплаты труда работников муниципальных учреждений осуществляют путем перераспределения средств, предназначенных на оплату труда (без учета выплат компенсационного характера за работу в местностях с особыми климатическими условиями), так, чтобы размеры окладов (должностных окладов), ставок заработной платы работников муниципальных учреждений в структуре заработной платы  составляли не ниже 70 процентов.</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24. Допускается установление должностей с двойным наименованием в случае, если заместитель руководителя (директора) муниципального учреждения является руководителем (начальником отдела) отдела в структуре данного муниципального учреждения.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В случае двойного наименования должности первой пишется более высокая должность и условия оплаты труда устанавливаются по данной должности. Размер должностного оклада по указанной должности устанавливается по должности, которая тарифицируется выше.</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Перечень и размеры должностных окладов по должностям служащих, не включенным в профессиональные квалификационное группы должностей,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утверждается отдельным приложением к положению об оплате труда работников.</w:t>
      </w:r>
    </w:p>
    <w:p w:rsidR="00A56E4E" w:rsidRPr="00A56E4E" w:rsidRDefault="00A56E4E" w:rsidP="00A56E4E">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A56E4E" w:rsidRPr="00A56E4E" w:rsidRDefault="00A56E4E" w:rsidP="00A56E4E">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VI. Заключительные положения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25. Штатное расписание муниципального учреждения утверждается руководителем муниципального учреждения и включает в себя все должности служащих (профессии рабочих).</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26. Основной персонал муниципального учреждения - работники учреждения, непосредственно оказывающие услуги (выполняющие работы), направленные на достижение определенных уставом муниципального учреждения целей деятельности этого учреждения, а также их непосредственные руководители.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Вспомогательный персонал муниципального учреждения - работники учреждения, создающие условия для оказания услуг (выполнения работ), направленных на достижение определенных уставом муниципального учреждения целей деятельности этого учреждения, включая обслуживание зданий и оборудования.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Административно-управленческий персонал муниципального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27. Фонд оплаты труда работников муниципальных бюджетных и автономных учреждений формируется на календарный год исходя из объема субсидий, поступающих в установленном порядке муниципальным бюджетным и автономным учреждениям из местного бюджета, средств, поступающих от приносящей доход деятельности, и средств внебюджетных фондов.</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Фонд оплаты труда работников казенных учреждений формируется исходя из объема бюджетных ассигнований на обеспечение выполнения функций казенного учреждения и соответствующих лимитов бюджетных обязательств в части оплаты труда работников учреждения.</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28. Главные распорядители средств местного бюджета, в ведении которых находятся муниципальные учреждения, устанавливают предельную долю оплаты труда работников административно-управленческого и вспомогательного персонала в фонде оплаты труда подведомственных учреждений в размере не более 40 процентов а также перечень должностей, относимых к административно-управленческому и вспомогательному персоналу.</w:t>
      </w:r>
    </w:p>
    <w:p w:rsidR="00A56E4E" w:rsidRPr="00A56E4E" w:rsidRDefault="00A56E4E" w:rsidP="00A56E4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29. Средства, предусмотренные в бюджете Увельского муниципального округа на увеличение фондов оплаты труда работников муниципальных учреждений, направляются на увеличение размеров окладов (должностных окладов), ставок заработной платы работников муниципальных учреждений в пределах выделенных средств.</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W w:w="4949" w:type="dxa"/>
        <w:tblInd w:w="4703" w:type="dxa"/>
        <w:tblLook w:val="04A0"/>
      </w:tblPr>
      <w:tblGrid>
        <w:gridCol w:w="4949"/>
      </w:tblGrid>
      <w:tr w:rsidR="00A56E4E" w:rsidRPr="00A56E4E" w:rsidTr="00585B3D">
        <w:trPr>
          <w:trHeight w:val="2001"/>
        </w:trPr>
        <w:tc>
          <w:tcPr>
            <w:tcW w:w="4949" w:type="dxa"/>
            <w:shd w:val="clear" w:color="auto" w:fill="auto"/>
          </w:tcPr>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 xml:space="preserve">Приложение </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к положению об установлении систем оплаты труда работников муниципальных бюджетных, автономных и казенных учреждений Увельского муниципального округа</w:t>
            </w:r>
          </w:p>
        </w:tc>
      </w:tr>
    </w:tbl>
    <w:p w:rsidR="00A56E4E" w:rsidRPr="00A56E4E" w:rsidRDefault="00A56E4E" w:rsidP="00A56E4E">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4" w:name="P159"/>
      <w:bookmarkEnd w:id="4"/>
      <w:r w:rsidRPr="00A56E4E">
        <w:rPr>
          <w:rFonts w:ascii="Times New Roman" w:eastAsia="Times New Roman" w:hAnsi="Times New Roman" w:cs="Times New Roman"/>
          <w:b/>
          <w:sz w:val="26"/>
          <w:szCs w:val="26"/>
          <w:lang w:eastAsia="ru-RU"/>
        </w:rPr>
        <w:t>Перечень</w:t>
      </w: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должностей специалистов муниципальных учреждений культуры,</w:t>
      </w: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социального обслуживания, образования,</w:t>
      </w: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физкультуры и спорта, работающих в сельских</w:t>
      </w: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населенных пунктах Челябинской области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ОБЩЕОТРАСЛЕВЫЕ ДОЛЖНОСТИ СПЕЦИАЛИСТОВ</w:t>
      </w:r>
    </w:p>
    <w:p w:rsidR="00A56E4E" w:rsidRPr="00A56E4E" w:rsidRDefault="00A56E4E" w:rsidP="00A56E4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МУНИЦИПАЛЬНЫХ УЧРЕЖДЕНИЙ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Директор (генеральный директор, начальник, управляющий) учреждения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Главный бухгалтер, заместитель главного бухгалтера (учреждения, централизованной бухгалтерии)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Главный инженер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Главные: механик, энергетик, диспетчер и другие</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Директор гостиницы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Директор (начальник) котельной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Заведующие: архивом, бюро пропусков, камерой хранения, канцелярией, комнатой отдыха, копировально-множительным бюро, машинописным бюро, общежитием, производством (шеф-повар), складом, столовой, фотолабораторией, хозяйством, экспедицией, прачечной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Комендант</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Мастер участка (включая старшего), котельной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Начальник автоколонны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Начальник гаража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Начальник вспомогательного отдела (кадров, спецотдела, материально-технического снабжения, охраны труда и других), отделения (группы)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Начальник основного отдела, группы (финансового, экономического, маркетинга, производственного и других)</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Начальник хозяйственного отдела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Начальник цеха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Начальник (заведующий) мастерской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Начальник участка (смены)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Производитель работ (прораб), включая старшего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Менеджер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lastRenderedPageBreak/>
        <w:t>Менеджер по персоналу</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Менеджер по рекламе</w:t>
      </w: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Архитектор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Администратор (включая старшего)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Бухгалтер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Бухгалтер-ревизор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Художник-конструктор (дизайнер)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Диспетчер (включая старшего)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Документовед</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Инженеры различных специальностей и наименований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Инспекторы: по кадрам, по контролю за исполнением поручений (включая старших)</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Конструктор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Механик</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Переводчик</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Переводчик-дактилолог (сурдопереводчик)</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Программист</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Психолог</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Редактор (включая художественного)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Социолог</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 по кадрам</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Техники всех специальностей и наименований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Товаровед</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Физиолог</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Художник</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Экономисты различных специальностей и наименований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Электроник</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Юрисконсульт</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 по маркетингу</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 по технике безопасности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Инструктор производственного обучения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Инструктор по труду</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A56E4E">
        <w:rPr>
          <w:rFonts w:ascii="Times New Roman" w:eastAsia="Times New Roman" w:hAnsi="Times New Roman" w:cs="Times New Roman"/>
          <w:b/>
          <w:sz w:val="26"/>
          <w:szCs w:val="26"/>
          <w:lang w:eastAsia="ru-RU"/>
        </w:rPr>
        <w:t>ОСНОВНЫЕ ОТРАСЛЕВЫЕ ДОЛЖНОСТИ СЛУЖАЩИХ</w:t>
      </w: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УЧРЕЖДЕНИЯ КУЛЬТУРЫ</w:t>
      </w: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Администратор (включая старшего)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Художник-реставратор (занятый реставрацией памятников истории, культуры и архивных документов)</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Художник-фотограф</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Культурно-просветительные учреждения</w:t>
      </w: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lastRenderedPageBreak/>
        <w:t>Руководители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Заведующий отделом (сектором) музея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Заведующие (начальники): филиалом библиотеки (централизованной библиотечной системы), отделом (сектором) библиотеки, отделом (сектором) дома (дворца культуры, парка культуры и отдыха, научно-методического центра, дома народного творчества, центра народной культуры (культуры и досуга))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Заведующий аттракционом</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Заведующий художественно-оформительской мастерской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Заведующие (начальники) другими отделами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Главные: библиотекарь, библиограф</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Главный хранитель фондов</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Директор (заведующий) библиотеки (централизованной библиотечной системы), музея, музейно-выставочного центра, дома (дворца культуры, клуба), парка культуры и отдыха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Директор научно-методического центра, дома народного творчества, центра народной культуры (культуры и досуга)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Художественный руководитель клубного учреждения, парка культуры и отдыха, научно-методического центра, дома народного творчества, центра народной культуры (культуры и досуга)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Руководитель кружка, клуба по интересам, любительского объединения, культорганизатор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Библиотекарь, библиограф</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Аккомпаниатор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Режиссер (балетмейстер, дирижер, хормейстер); художник-постановщик</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Методист библиотеки, клубного учреждения, музея, научно-методического центра, дома народного творчества, центра народной культуры (культуры и досуга)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Редактор библиотеки, клубного учреждения, музея, научно-методического центра, дома народного творчества, центра народной культуры (культуры и досуга)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Лектор, экскурсовод</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Ассистент режиссера (дирижера, балетмейстера, хормейстера)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Распорядитель танцевального вечера, ведущий дискотеки, руководитель музыкальной части дискотеки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Театры, музыкальные и танцевальные коллективы,</w:t>
      </w: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концертные организации</w:t>
      </w: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Заведующий (начальник) отделом по основной деятельности, службой и цехом, производственной мастерской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Заведующие (начальники) других подразделений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Заведующий костюмерной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Заведующий билетными кассами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Главный администратор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Главный бухгалтер, главный инженер в отрасли "Культура и искусство"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lastRenderedPageBreak/>
        <w:t>Директор в отрасли "Культура и искусство"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УЧРЕЖДЕНИЯ СОЦИАЛЬНОГО ОБСЛУЖИВАНИЯ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Руководители учреждений</w:t>
      </w: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социального обслуживания и их заместители,</w:t>
      </w: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имеющие высшее и среднее специальное образование</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Врачи всех специальностей (включая заведующих отделениями и их заместителей)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Главная медицинская сестра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Средний медицинский персонал (включая старшую медицинскую сестру, акушерку)</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Фармацевтический персонал (включая заведующего аптекой)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Лаборант, рентгенолаборант</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Инструктор ЛФК</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Социальные работники, специалист по социальной работе, участковые специалисты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Педагогический персонал и другие специалисты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Учитель, преподаватель, руководитель кружка, музыкальный руководитель</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Воспитатель</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Социальный педагог</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Библиотекарь</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Культорганизатор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Методист</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Логопед, дефектолог</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Педагог-психолог</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УЧРЕЖДЕНИЯ ОБРАЗОВАНИЯ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Руководитель (директор, начальник, заведующий, ректор) учреждения образования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Заместитель руководителя (директора, начальника, заведующего, ректора) учреждения образования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Директор (начальник, заведующий) филиала учреждения образования, старший мастер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Заведующий библиотекой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Управляющий учебным хозяйством</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Руководитель структурного подразделения учреждения образования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Главные специалисты (главный бухгалтер, главный инженер)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lastRenderedPageBreak/>
        <w:t>Учитель, преподаватель, воспитатель (включая старшего), классный воспитатель</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Учитель-дефектолог, учитель-логопед, логопед</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Мастер производственного обучения (включая старшего)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Преподаватель-организатор (основ безопасности жизнедеятельности допризывной подготовки)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Руководитель физического воспитания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Методист, инструктор-методист (включая старшего)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Музыкальный руководитель</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Концертмейстер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Социальный педагог, педагог-психолог, педагог-организатор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Педагог дополнительного образования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Тренер-преподаватель образовательного учреждения (включая старшего)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Библиотекарь</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Педагог-библиотекарь</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Врач</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Медицинская сестра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Старший вожатый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Инструктор по труду</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Инструктор по физической культуре</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Ведущие специалисты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Главные специалисты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Лаборант (включая старшего)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УЧРЕЖДЕНИЯ ФИЗИЧЕСКОЙ КУЛЬТУРЫ И СПОРТА</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Руководители</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Руководитель (директор) спортивной школы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Руководитель (директор, заведующий) спортивного сооружения</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Начальники клубов: спортивно-технического, стрелково-спортивного</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Старший тренер-преподаватель по спорту</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Старший инструктор-методист: спортивной школы, физкультурно-спортивных организаций</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Главный юрист</w:t>
      </w:r>
    </w:p>
    <w:p w:rsidR="00A56E4E" w:rsidRPr="00A56E4E" w:rsidRDefault="00A56E4E" w:rsidP="00A56E4E">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Ветеринарный врач</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Врач-специалист</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Зоотехник</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Тренер</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Тренер-преподаватель по спорту</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Инструктор-методист: физкультурно-спортивных организаций, спортивной школы</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Специалист</w:t>
      </w:r>
    </w:p>
    <w:p w:rsidR="00A56E4E" w:rsidRPr="00A56E4E" w:rsidRDefault="00A56E4E" w:rsidP="00A56E4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56E4E">
        <w:rPr>
          <w:rFonts w:ascii="Times New Roman" w:eastAsia="Times New Roman" w:hAnsi="Times New Roman" w:cs="Times New Roman"/>
          <w:sz w:val="26"/>
          <w:szCs w:val="26"/>
          <w:lang w:eastAsia="ru-RU"/>
        </w:rPr>
        <w:t>Спортсмен-инструктор</w:t>
      </w:r>
    </w:p>
    <w:p w:rsidR="00A56E4E" w:rsidRPr="00A56E4E" w:rsidRDefault="00A56E4E" w:rsidP="00A56E4E">
      <w:pPr>
        <w:widowControl w:val="0"/>
        <w:autoSpaceDE w:val="0"/>
        <w:autoSpaceDN w:val="0"/>
        <w:adjustRightInd w:val="0"/>
        <w:spacing w:after="0" w:line="240" w:lineRule="auto"/>
        <w:jc w:val="both"/>
        <w:rPr>
          <w:rFonts w:ascii="Arial" w:eastAsia="Times New Roman" w:hAnsi="Arial" w:cs="Arial"/>
          <w:sz w:val="26"/>
          <w:szCs w:val="26"/>
          <w:lang w:eastAsia="ru-RU"/>
        </w:rPr>
      </w:pPr>
      <w:r w:rsidRPr="00A56E4E">
        <w:rPr>
          <w:rFonts w:ascii="Times New Roman" w:eastAsia="Times New Roman" w:hAnsi="Times New Roman" w:cs="Times New Roman"/>
          <w:sz w:val="26"/>
          <w:szCs w:val="26"/>
          <w:lang w:eastAsia="ru-RU"/>
        </w:rPr>
        <w:t>Массажист</w:t>
      </w:r>
    </w:p>
    <w:p w:rsidR="00A56E4E" w:rsidRPr="00A56E4E" w:rsidRDefault="00A56E4E" w:rsidP="00A56E4E">
      <w:pPr>
        <w:spacing w:after="0" w:line="240" w:lineRule="auto"/>
        <w:ind w:right="57"/>
        <w:contextualSpacing/>
        <w:jc w:val="both"/>
        <w:rPr>
          <w:rFonts w:ascii="Times New Roman" w:eastAsia="Times New Roman" w:hAnsi="Times New Roman" w:cs="Times New Roman"/>
          <w:sz w:val="24"/>
          <w:szCs w:val="24"/>
          <w:lang w:eastAsia="ru-RU"/>
        </w:rPr>
      </w:pPr>
    </w:p>
    <w:p w:rsidR="00613E53" w:rsidRDefault="00613E53"/>
    <w:sectPr w:rsidR="00613E53" w:rsidSect="00A56E4E">
      <w:headerReference w:type="default" r:id="rId14"/>
      <w:pgSz w:w="11907" w:h="16840" w:code="9"/>
      <w:pgMar w:top="1134" w:right="567"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E09" w:rsidRDefault="00D02E09">
      <w:pPr>
        <w:spacing w:after="0" w:line="240" w:lineRule="auto"/>
      </w:pPr>
      <w:r>
        <w:separator/>
      </w:r>
    </w:p>
  </w:endnote>
  <w:endnote w:type="continuationSeparator" w:id="1">
    <w:p w:rsidR="00D02E09" w:rsidRDefault="00D02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E09" w:rsidRDefault="00D02E09">
      <w:pPr>
        <w:spacing w:after="0" w:line="240" w:lineRule="auto"/>
      </w:pPr>
      <w:r>
        <w:separator/>
      </w:r>
    </w:p>
  </w:footnote>
  <w:footnote w:type="continuationSeparator" w:id="1">
    <w:p w:rsidR="00D02E09" w:rsidRDefault="00D02E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E3" w:rsidRDefault="00D02E09">
    <w:pPr>
      <w:pStyle w:val="a5"/>
      <w:jc w:val="center"/>
    </w:pPr>
  </w:p>
  <w:p w:rsidR="00DE5C3C" w:rsidRDefault="00D02E0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E092E31"/>
    <w:multiLevelType w:val="hybridMultilevel"/>
    <w:tmpl w:val="9F98318A"/>
    <w:lvl w:ilvl="0" w:tplc="F2D462C8">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2">
    <w:nsid w:val="201630BE"/>
    <w:multiLevelType w:val="hybridMultilevel"/>
    <w:tmpl w:val="5C9AF65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BB0E3B"/>
    <w:multiLevelType w:val="hybridMultilevel"/>
    <w:tmpl w:val="4168A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3B4630"/>
    <w:multiLevelType w:val="hybridMultilevel"/>
    <w:tmpl w:val="39D88BD0"/>
    <w:lvl w:ilvl="0" w:tplc="73783DFC">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56BAA"/>
    <w:rsid w:val="002E0044"/>
    <w:rsid w:val="00362C7A"/>
    <w:rsid w:val="00613E53"/>
    <w:rsid w:val="00A56E4E"/>
    <w:rsid w:val="00B56BAA"/>
    <w:rsid w:val="00D02E09"/>
    <w:rsid w:val="00E164AD"/>
    <w:rsid w:val="00F645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4AD"/>
  </w:style>
  <w:style w:type="paragraph" w:styleId="1">
    <w:name w:val="heading 1"/>
    <w:basedOn w:val="a"/>
    <w:next w:val="a"/>
    <w:link w:val="10"/>
    <w:qFormat/>
    <w:rsid w:val="00A56E4E"/>
    <w:pPr>
      <w:keepNext/>
      <w:spacing w:after="0" w:line="240" w:lineRule="auto"/>
      <w:ind w:left="142"/>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6E4E"/>
    <w:rPr>
      <w:rFonts w:ascii="Times New Roman" w:eastAsia="Times New Roman" w:hAnsi="Times New Roman" w:cs="Times New Roman"/>
      <w:sz w:val="28"/>
      <w:szCs w:val="20"/>
      <w:lang w:eastAsia="ru-RU"/>
    </w:rPr>
  </w:style>
  <w:style w:type="numbering" w:customStyle="1" w:styleId="11">
    <w:name w:val="Нет списка1"/>
    <w:next w:val="a2"/>
    <w:semiHidden/>
    <w:rsid w:val="00A56E4E"/>
  </w:style>
  <w:style w:type="paragraph" w:styleId="a3">
    <w:name w:val="Body Text"/>
    <w:basedOn w:val="a"/>
    <w:link w:val="a4"/>
    <w:rsid w:val="00A56E4E"/>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A56E4E"/>
    <w:rPr>
      <w:rFonts w:ascii="Times New Roman" w:eastAsia="Times New Roman" w:hAnsi="Times New Roman" w:cs="Times New Roman"/>
      <w:sz w:val="28"/>
      <w:szCs w:val="20"/>
      <w:lang w:eastAsia="ru-RU"/>
    </w:rPr>
  </w:style>
  <w:style w:type="character" w:customStyle="1" w:styleId="2">
    <w:name w:val="Основной текст (2)_"/>
    <w:link w:val="21"/>
    <w:uiPriority w:val="99"/>
    <w:locked/>
    <w:rsid w:val="00A56E4E"/>
    <w:rPr>
      <w:shd w:val="clear" w:color="auto" w:fill="FFFFFF"/>
    </w:rPr>
  </w:style>
  <w:style w:type="character" w:customStyle="1" w:styleId="20">
    <w:name w:val="Основной текст (2)"/>
    <w:basedOn w:val="2"/>
    <w:uiPriority w:val="99"/>
    <w:rsid w:val="00A56E4E"/>
    <w:rPr>
      <w:shd w:val="clear" w:color="auto" w:fill="FFFFFF"/>
    </w:rPr>
  </w:style>
  <w:style w:type="character" w:customStyle="1" w:styleId="22">
    <w:name w:val="Основной текст (2)2"/>
    <w:basedOn w:val="2"/>
    <w:uiPriority w:val="99"/>
    <w:rsid w:val="00A56E4E"/>
    <w:rPr>
      <w:shd w:val="clear" w:color="auto" w:fill="FFFFFF"/>
    </w:rPr>
  </w:style>
  <w:style w:type="paragraph" w:customStyle="1" w:styleId="21">
    <w:name w:val="Основной текст (2)1"/>
    <w:basedOn w:val="a"/>
    <w:link w:val="2"/>
    <w:uiPriority w:val="99"/>
    <w:rsid w:val="00A56E4E"/>
    <w:pPr>
      <w:widowControl w:val="0"/>
      <w:shd w:val="clear" w:color="auto" w:fill="FFFFFF"/>
      <w:spacing w:before="720" w:after="0" w:line="278" w:lineRule="exact"/>
      <w:jc w:val="both"/>
    </w:pPr>
  </w:style>
  <w:style w:type="paragraph" w:styleId="a5">
    <w:name w:val="header"/>
    <w:basedOn w:val="a"/>
    <w:link w:val="a6"/>
    <w:uiPriority w:val="99"/>
    <w:rsid w:val="00A56E4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A56E4E"/>
    <w:rPr>
      <w:rFonts w:ascii="Times New Roman" w:eastAsia="Times New Roman" w:hAnsi="Times New Roman" w:cs="Times New Roman"/>
      <w:sz w:val="20"/>
      <w:szCs w:val="20"/>
      <w:lang w:eastAsia="ru-RU"/>
    </w:rPr>
  </w:style>
  <w:style w:type="paragraph" w:styleId="a7">
    <w:name w:val="footer"/>
    <w:basedOn w:val="a"/>
    <w:link w:val="a8"/>
    <w:uiPriority w:val="99"/>
    <w:rsid w:val="00A56E4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A56E4E"/>
    <w:rPr>
      <w:rFonts w:ascii="Times New Roman" w:eastAsia="Times New Roman" w:hAnsi="Times New Roman" w:cs="Times New Roman"/>
      <w:sz w:val="20"/>
      <w:szCs w:val="20"/>
      <w:lang w:eastAsia="ru-RU"/>
    </w:rPr>
  </w:style>
  <w:style w:type="table" w:styleId="a9">
    <w:name w:val="Table Grid"/>
    <w:basedOn w:val="a1"/>
    <w:uiPriority w:val="39"/>
    <w:rsid w:val="00A56E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A56E4E"/>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A56E4E"/>
    <w:rPr>
      <w:rFonts w:ascii="Tahoma" w:eastAsia="Times New Roman" w:hAnsi="Tahoma" w:cs="Tahoma"/>
      <w:sz w:val="16"/>
      <w:szCs w:val="16"/>
      <w:lang w:eastAsia="ru-RU"/>
    </w:rPr>
  </w:style>
  <w:style w:type="paragraph" w:customStyle="1" w:styleId="ConsPlusNormal">
    <w:name w:val="ConsPlusNormal"/>
    <w:rsid w:val="00A56E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56E4E"/>
    <w:pPr>
      <w:widowControl w:val="0"/>
      <w:autoSpaceDE w:val="0"/>
      <w:autoSpaceDN w:val="0"/>
      <w:spacing w:after="0" w:line="240" w:lineRule="auto"/>
    </w:pPr>
    <w:rPr>
      <w:rFonts w:ascii="Calibri" w:eastAsia="Times New Roman" w:hAnsi="Calibri" w:cs="Calibri"/>
      <w:b/>
      <w:lang w:eastAsia="ru-RU"/>
    </w:rPr>
  </w:style>
  <w:style w:type="character" w:styleId="ac">
    <w:name w:val="Hyperlink"/>
    <w:rsid w:val="00A56E4E"/>
    <w:rPr>
      <w:color w:val="0563C1"/>
      <w:u w:val="single"/>
    </w:rPr>
  </w:style>
  <w:style w:type="character" w:customStyle="1" w:styleId="UnresolvedMention">
    <w:name w:val="Unresolved Mention"/>
    <w:uiPriority w:val="99"/>
    <w:semiHidden/>
    <w:unhideWhenUsed/>
    <w:rsid w:val="00A56E4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38" TargetMode="External"/><Relationship Id="rId13" Type="http://schemas.openxmlformats.org/officeDocument/2006/relationships/hyperlink" Target="https://login.consultant.ru/link/?req=doc&amp;base=LAW&amp;n=170050" TargetMode="External"/><Relationship Id="rId3" Type="http://schemas.openxmlformats.org/officeDocument/2006/relationships/settings" Target="settings.xml"/><Relationship Id="rId7" Type="http://schemas.openxmlformats.org/officeDocument/2006/relationships/hyperlink" Target="https://login.consultant.ru/link/?req=doc&amp;base=LAW&amp;n=452984" TargetMode="External"/><Relationship Id="rId12" Type="http://schemas.openxmlformats.org/officeDocument/2006/relationships/hyperlink" Target="https://login.consultant.ru/link/?req=doc&amp;base=LAW&amp;n=1848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4925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208761&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1005&amp;dst=10001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4632</Words>
  <Characters>26405</Characters>
  <Application>Microsoft Office Word</Application>
  <DocSecurity>0</DocSecurity>
  <Lines>220</Lines>
  <Paragraphs>61</Paragraphs>
  <ScaleCrop>false</ScaleCrop>
  <Company/>
  <LinksUpToDate>false</LinksUpToDate>
  <CharactersWithSpaces>30976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Докалова Элеонора Владимировна</dc:creator>
  <cp:keywords/>
  <dc:description/>
  <cp:lastModifiedBy>Юрист спец</cp:lastModifiedBy>
  <cp:revision>4</cp:revision>
  <cp:lastPrinted>2026-04-23T10:53:00Z</cp:lastPrinted>
  <dcterms:created xsi:type="dcterms:W3CDTF">2026-04-23T10:46:00Z</dcterms:created>
  <dcterms:modified xsi:type="dcterms:W3CDTF">2026-04-28T09:27:00Z</dcterms:modified>
</cp:coreProperties>
</file>